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32"/>
        </w:rPr>
      </w:pPr>
    </w:p>
    <w:p w14:paraId="02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Общественный совет </w:t>
      </w:r>
      <w:r>
        <w:rPr>
          <w:b w:val="1"/>
          <w:sz w:val="32"/>
        </w:rPr>
        <w:t xml:space="preserve">при </w:t>
      </w:r>
      <w:r>
        <w:rPr>
          <w:b w:val="1"/>
          <w:sz w:val="32"/>
        </w:rPr>
        <w:t xml:space="preserve">УФНС России по </w:t>
      </w:r>
      <w:r>
        <w:rPr>
          <w:b w:val="1"/>
          <w:sz w:val="32"/>
        </w:rPr>
        <w:t>Камчатскому краю</w:t>
      </w:r>
    </w:p>
    <w:p w14:paraId="03000000">
      <w:pPr>
        <w:ind/>
        <w:jc w:val="center"/>
        <w:rPr>
          <w:b w:val="1"/>
          <w:sz w:val="32"/>
        </w:rPr>
      </w:pPr>
    </w:p>
    <w:p w14:paraId="04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ПЛАН</w:t>
      </w:r>
    </w:p>
    <w:p w14:paraId="05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работы на </w:t>
      </w:r>
      <w:r>
        <w:rPr>
          <w:b w:val="1"/>
          <w:sz w:val="32"/>
        </w:rPr>
        <w:t>2020</w:t>
      </w:r>
      <w:r>
        <w:rPr>
          <w:b w:val="1"/>
          <w:sz w:val="32"/>
        </w:rPr>
        <w:t xml:space="preserve"> год</w:t>
      </w:r>
    </w:p>
    <w:p w14:paraId="06000000">
      <w:pPr>
        <w:ind/>
        <w:jc w:val="center"/>
        <w:rPr>
          <w:b w:val="1"/>
          <w:sz w:val="28"/>
        </w:rPr>
      </w:pPr>
    </w:p>
    <w:tbl>
      <w:tblPr>
        <w:tblStyle w:val="Style_1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18"/>
        <w:gridCol w:w="1640"/>
        <w:gridCol w:w="1995"/>
        <w:gridCol w:w="5670"/>
        <w:gridCol w:w="3260"/>
        <w:gridCol w:w="2410"/>
      </w:tblGrid>
      <w:tr>
        <w:tc>
          <w:tcPr>
            <w:tcW w:type="dxa" w:w="618"/>
          </w:tcPr>
          <w:p w14:paraId="07000000">
            <w:pPr>
              <w:ind/>
              <w:jc w:val="center"/>
              <w:rPr>
                <w:b w:val="1"/>
                <w:sz w:val="26"/>
              </w:rPr>
            </w:pPr>
          </w:p>
          <w:p w14:paraId="08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1640"/>
            <w:vAlign w:val="center"/>
          </w:tcPr>
          <w:p w14:paraId="09000000">
            <w:pPr>
              <w:ind w:right="-118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Дата</w:t>
            </w:r>
          </w:p>
        </w:tc>
        <w:tc>
          <w:tcPr>
            <w:tcW w:type="dxa" w:w="1995"/>
            <w:vAlign w:val="center"/>
          </w:tcPr>
          <w:p w14:paraId="0A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Наименование мероприятия</w:t>
            </w:r>
          </w:p>
        </w:tc>
        <w:tc>
          <w:tcPr>
            <w:tcW w:type="dxa" w:w="5670"/>
            <w:vAlign w:val="center"/>
          </w:tcPr>
          <w:p w14:paraId="0B000000">
            <w:pPr>
              <w:ind w:right="-108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Вопросы для обсуждения</w:t>
            </w:r>
          </w:p>
        </w:tc>
        <w:tc>
          <w:tcPr>
            <w:tcW w:type="dxa" w:w="3260"/>
            <w:vAlign w:val="center"/>
          </w:tcPr>
          <w:p w14:paraId="0C000000">
            <w:pPr>
              <w:ind w:right="-142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О</w:t>
            </w:r>
            <w:r>
              <w:rPr>
                <w:b w:val="1"/>
                <w:sz w:val="26"/>
              </w:rPr>
              <w:t>тветственный</w:t>
            </w:r>
          </w:p>
          <w:p w14:paraId="0D000000">
            <w:pPr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(отдел УФНС России по Камчатскому краю)</w:t>
            </w:r>
          </w:p>
        </w:tc>
        <w:tc>
          <w:tcPr>
            <w:tcW w:type="dxa" w:w="2410"/>
            <w:vAlign w:val="center"/>
          </w:tcPr>
          <w:p w14:paraId="0E000000">
            <w:pPr>
              <w:ind w:firstLine="32" w:left="-32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Место проведения</w:t>
            </w:r>
          </w:p>
        </w:tc>
      </w:tr>
      <w:tr>
        <w:trPr>
          <w:trHeight w:hRule="atLeast" w:val="877"/>
        </w:trPr>
        <w:tc>
          <w:tcPr>
            <w:tcW w:type="dxa" w:w="618"/>
          </w:tcPr>
          <w:p w14:paraId="0F000000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640"/>
          </w:tcPr>
          <w:p w14:paraId="10000000">
            <w:pPr>
              <w:ind w:right="-118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полугодие </w:t>
            </w:r>
            <w:r>
              <w:rPr>
                <w:sz w:val="26"/>
              </w:rPr>
              <w:t>2020</w:t>
            </w:r>
          </w:p>
        </w:tc>
        <w:tc>
          <w:tcPr>
            <w:tcW w:type="dxa" w:w="1995"/>
          </w:tcPr>
          <w:p w14:paraId="11000000">
            <w:pPr>
              <w:rPr>
                <w:sz w:val="26"/>
              </w:rPr>
            </w:pPr>
            <w:r>
              <w:rPr>
                <w:sz w:val="26"/>
              </w:rPr>
              <w:t>Плановое заседание</w:t>
            </w:r>
          </w:p>
        </w:tc>
        <w:tc>
          <w:tcPr>
            <w:tcW w:type="dxa" w:w="5670"/>
          </w:tcPr>
          <w:p w14:paraId="12000000">
            <w:pPr>
              <w:ind w:firstLine="0" w:left="34"/>
              <w:jc w:val="both"/>
              <w:rPr>
                <w:rFonts w:ascii="Times New Roman" w:hAnsi="Times New Roman"/>
                <w:color w:val="000000"/>
                <w:sz w:val="26"/>
                <w:shd w:fill="92FF99" w:val="clear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1. Итоги работы УФНС России по Камчатскому краю за 2019 год (</w:t>
            </w:r>
            <w:r>
              <w:rPr>
                <w:rFonts w:ascii="Times New Roman" w:hAnsi="Times New Roman"/>
                <w:color w:val="000000"/>
                <w:sz w:val="26"/>
              </w:rPr>
              <w:t>поступление, задолженность по налогам и сборам, контрольная работа)</w:t>
            </w:r>
          </w:p>
          <w:p w14:paraId="13000000">
            <w:pPr>
              <w:ind w:firstLine="0" w:left="34"/>
              <w:jc w:val="both"/>
              <w:rPr>
                <w:rFonts w:ascii="Times New Roman" w:hAnsi="Times New Roman"/>
                <w:color w:val="000000"/>
                <w:sz w:val="26"/>
                <w:shd w:fill="92FF99" w:val="clear"/>
              </w:rPr>
            </w:pPr>
          </w:p>
          <w:p w14:paraId="14000000">
            <w:pPr>
              <w:ind w:firstLine="0" w:left="34"/>
              <w:jc w:val="both"/>
              <w:rPr>
                <w:rFonts w:ascii="Times New Roman" w:hAnsi="Times New Roman"/>
                <w:color w:val="000000"/>
                <w:sz w:val="26"/>
                <w:shd w:fill="92FF99" w:val="clear"/>
              </w:rPr>
            </w:pPr>
          </w:p>
          <w:p w14:paraId="15000000">
            <w:pPr>
              <w:ind w:firstLine="0" w:left="34"/>
              <w:jc w:val="both"/>
              <w:rPr>
                <w:rFonts w:ascii="Times New Roman" w:hAnsi="Times New Roman"/>
                <w:color w:val="000000"/>
                <w:sz w:val="26"/>
                <w:shd w:fill="92FF99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2. О результатах взаимодействия налоговых  органов с правоохранительными   и таможенными органами в 2019 году</w:t>
            </w:r>
          </w:p>
          <w:p w14:paraId="16000000">
            <w:pPr>
              <w:ind w:firstLine="0" w:left="34"/>
              <w:jc w:val="both"/>
              <w:rPr>
                <w:rFonts w:ascii="Times New Roman" w:hAnsi="Times New Roman"/>
                <w:color w:val="000000"/>
                <w:sz w:val="26"/>
                <w:shd w:fill="92FF99" w:val="clear"/>
              </w:rPr>
            </w:pPr>
          </w:p>
          <w:p w14:paraId="17000000">
            <w:pPr>
              <w:ind w:firstLine="0" w:left="34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3. Результаты взаимодействия  с МФЦ по представлению государственных услуг </w:t>
            </w: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налоговых органов</w:t>
            </w:r>
          </w:p>
          <w:p w14:paraId="18000000">
            <w:pPr>
              <w:ind w:firstLine="0" w:left="34"/>
              <w:jc w:val="both"/>
              <w:rPr>
                <w:rFonts w:ascii="Times New Roman" w:hAnsi="Times New Roman"/>
                <w:color w:val="000000"/>
                <w:sz w:val="26"/>
              </w:rPr>
            </w:pPr>
          </w:p>
          <w:p w14:paraId="19000000">
            <w:pPr>
              <w:pStyle w:val="Style_2"/>
              <w:spacing w:after="0" w:before="0" w:line="240" w:lineRule="auto"/>
              <w:ind w:firstLine="0" w:left="0" w:right="-108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 xml:space="preserve">4. </w:t>
            </w: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Единый реестр субъектов малого и среднего предпринимател</w:t>
            </w: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ьства</w:t>
            </w: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: крите</w:t>
            </w: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рии включения, изменение категории, риски исключения</w:t>
            </w:r>
          </w:p>
          <w:p w14:paraId="1A000000">
            <w:pPr>
              <w:rPr>
                <w:rFonts w:ascii="Times New Roman" w:hAnsi="Times New Roman"/>
                <w:color w:val="000000"/>
                <w:sz w:val="26"/>
              </w:rPr>
            </w:pPr>
          </w:p>
          <w:p w14:paraId="1B000000">
            <w:pPr>
              <w:ind w:right="-108"/>
              <w:jc w:val="both"/>
              <w:rPr>
                <w:rFonts w:ascii="Times New Roman" w:hAnsi="Times New Roman"/>
                <w:sz w:val="26"/>
              </w:rPr>
            </w:pPr>
          </w:p>
          <w:p w14:paraId="1C000000">
            <w:pPr>
              <w:ind w:right="-108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5. Обеспечение достоверности сведений в ЕГРЮЛ и основания для исключения юридических лиц из Реестра в административном порядке</w:t>
            </w:r>
          </w:p>
          <w:p w14:paraId="1D000000">
            <w:pPr>
              <w:ind w:right="-108"/>
              <w:jc w:val="both"/>
              <w:rPr>
                <w:sz w:val="26"/>
              </w:rPr>
            </w:pPr>
            <w:r>
              <w:t xml:space="preserve"> </w:t>
            </w:r>
          </w:p>
          <w:p w14:paraId="1E000000">
            <w:pPr>
              <w:pStyle w:val="Style_2"/>
              <w:spacing w:after="0" w:before="0" w:line="240" w:lineRule="auto"/>
              <w:ind w:firstLine="0" w:left="0" w:right="-108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6. О проведении Декларационной кампании - 2020</w:t>
            </w:r>
            <w:r>
              <w:rPr>
                <w:rFonts w:ascii="Times New Roman&quot;" w:hAnsi="Times New Roman&quot;"/>
                <w:sz w:val="24"/>
              </w:rPr>
              <w:t> </w:t>
            </w:r>
          </w:p>
          <w:p w14:paraId="1F000000">
            <w:pPr>
              <w:pStyle w:val="Style_2"/>
              <w:spacing w:after="0" w:before="0" w:line="240" w:lineRule="auto"/>
              <w:ind w:firstLine="0" w:left="0" w:right="-108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</w:p>
          <w:p w14:paraId="20000000">
            <w:pPr>
              <w:pStyle w:val="Style_2"/>
              <w:spacing w:after="0" w:before="0"/>
              <w:ind w:right="-108"/>
              <w:jc w:val="both"/>
              <w:rPr>
                <w:sz w:val="26"/>
                <w:shd w:fill="92FF99" w:val="clear"/>
              </w:rPr>
            </w:pPr>
          </w:p>
          <w:p w14:paraId="21000000">
            <w:pPr>
              <w:pStyle w:val="Style_2"/>
              <w:spacing w:after="0" w:before="0"/>
              <w:ind w:right="-108"/>
              <w:jc w:val="both"/>
              <w:rPr>
                <w:sz w:val="26"/>
                <w:shd w:fill="92FF99" w:val="clear"/>
              </w:rPr>
            </w:pPr>
          </w:p>
          <w:p w14:paraId="22000000">
            <w:pPr>
              <w:pStyle w:val="Style_2"/>
              <w:spacing w:after="0" w:before="0"/>
              <w:ind w:right="-108"/>
              <w:jc w:val="both"/>
              <w:rPr>
                <w:sz w:val="26"/>
              </w:rPr>
            </w:pPr>
          </w:p>
          <w:p w14:paraId="23000000">
            <w:pPr>
              <w:pStyle w:val="Style_2"/>
              <w:spacing w:after="0" w:before="0"/>
              <w:ind w:right="-108"/>
              <w:jc w:val="both"/>
              <w:rPr>
                <w:sz w:val="26"/>
              </w:rPr>
            </w:pPr>
          </w:p>
        </w:tc>
        <w:tc>
          <w:tcPr>
            <w:tcW w:type="dxa" w:w="3260"/>
          </w:tcPr>
          <w:p w14:paraId="24000000">
            <w:pPr>
              <w:spacing w:after="0" w:before="0"/>
              <w:ind w:firstLine="0" w:left="0" w:right="-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</w:rPr>
              <w:t>Аналитический отдел</w:t>
            </w:r>
          </w:p>
          <w:p w14:paraId="25000000">
            <w:pPr>
              <w:spacing w:after="0" w:before="0"/>
              <w:ind w:firstLine="0" w:left="0" w:right="-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</w:rPr>
              <w:t>Отдел урегулирования задолженности</w:t>
            </w:r>
          </w:p>
          <w:p w14:paraId="26000000">
            <w:pPr>
              <w:spacing w:after="0" w:before="0"/>
              <w:ind w:firstLine="0" w:left="0" w:right="-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</w:rPr>
              <w:t>Общественный совет</w:t>
            </w:r>
          </w:p>
          <w:p w14:paraId="27000000">
            <w:pPr>
              <w:ind w:right="-142"/>
              <w:rPr>
                <w:rFonts w:ascii="Times New Roman" w:hAnsi="Times New Roman"/>
                <w:sz w:val="26"/>
              </w:rPr>
            </w:pPr>
          </w:p>
          <w:p w14:paraId="28000000">
            <w:pPr>
              <w:spacing w:after="0" w:before="0"/>
              <w:ind w:firstLine="0" w:left="0" w:right="-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</w:rPr>
              <w:t>Контрольный отдел</w:t>
            </w:r>
          </w:p>
          <w:p w14:paraId="29000000">
            <w:pPr>
              <w:spacing w:after="0" w:before="0"/>
              <w:ind w:firstLine="0" w:left="0" w:right="-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</w:rPr>
              <w:t>Общественный совет</w:t>
            </w:r>
          </w:p>
          <w:p w14:paraId="2A000000">
            <w:pPr>
              <w:ind w:right="-142"/>
              <w:rPr>
                <w:rFonts w:ascii="Times New Roman" w:hAnsi="Times New Roman"/>
                <w:sz w:val="26"/>
              </w:rPr>
            </w:pPr>
          </w:p>
          <w:p w14:paraId="2B000000">
            <w:pPr>
              <w:ind w:right="-142"/>
              <w:rPr>
                <w:rFonts w:ascii="Times New Roman" w:hAnsi="Times New Roman"/>
                <w:sz w:val="26"/>
              </w:rPr>
            </w:pPr>
          </w:p>
          <w:p w14:paraId="2C000000">
            <w:pPr>
              <w:spacing w:after="0" w:before="0"/>
              <w:ind w:firstLine="0" w:left="0" w:right="-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</w:rPr>
              <w:t>Отдел работы с налогоплательщиками</w:t>
            </w:r>
          </w:p>
          <w:p w14:paraId="2D000000">
            <w:pPr>
              <w:spacing w:after="0" w:before="0"/>
              <w:ind w:firstLine="0" w:left="0" w:right="-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</w:rPr>
              <w:t>Общественный совет</w:t>
            </w:r>
          </w:p>
          <w:p w14:paraId="2E000000">
            <w:pPr>
              <w:ind w:right="-142"/>
              <w:rPr>
                <w:rFonts w:ascii="Times New Roman" w:hAnsi="Times New Roman"/>
                <w:sz w:val="26"/>
              </w:rPr>
            </w:pPr>
          </w:p>
          <w:p w14:paraId="2F000000">
            <w:pPr>
              <w:spacing w:after="0" w:before="0" w:line="240" w:lineRule="auto"/>
              <w:ind w:firstLine="0" w:left="0" w:right="-142"/>
              <w:jc w:val="left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Отдел налогообложения юридических лиц и камерального контроля</w:t>
            </w:r>
          </w:p>
          <w:p w14:paraId="30000000">
            <w:pPr>
              <w:ind w:right="-14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Общественный совет</w:t>
            </w:r>
          </w:p>
          <w:p w14:paraId="31000000">
            <w:pPr>
              <w:ind w:right="-142"/>
              <w:rPr>
                <w:rFonts w:ascii="Times New Roman" w:hAnsi="Times New Roman"/>
                <w:sz w:val="26"/>
              </w:rPr>
            </w:pPr>
          </w:p>
          <w:p w14:paraId="32000000">
            <w:pPr>
              <w:ind w:right="-14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регист</w:t>
            </w:r>
            <w:r>
              <w:rPr>
                <w:rFonts w:ascii="Times New Roman" w:hAnsi="Times New Roman"/>
                <w:sz w:val="26"/>
              </w:rPr>
              <w:t>рации и учета налогоплательщиков</w:t>
            </w:r>
          </w:p>
          <w:p w14:paraId="33000000">
            <w:pPr>
              <w:spacing w:after="0" w:before="0" w:line="240" w:lineRule="auto"/>
              <w:ind w:firstLine="0" w:left="0" w:right="-142"/>
              <w:jc w:val="left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Общественный совет</w:t>
            </w:r>
          </w:p>
          <w:p w14:paraId="34000000">
            <w:pPr>
              <w:ind w:right="-142"/>
              <w:rPr>
                <w:rFonts w:ascii="Times New Roman" w:hAnsi="Times New Roman"/>
                <w:sz w:val="26"/>
              </w:rPr>
            </w:pPr>
          </w:p>
          <w:p w14:paraId="35000000">
            <w:pPr>
              <w:ind w:right="-142"/>
              <w:rPr>
                <w:rFonts w:ascii="Times New Roman" w:hAnsi="Times New Roman"/>
                <w:sz w:val="26"/>
              </w:rPr>
            </w:pPr>
          </w:p>
          <w:p w14:paraId="36000000">
            <w:pPr>
              <w:ind w:right="-14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налогообложения имущества и доходов физических лиц и администрирования страховых взносов</w:t>
            </w:r>
          </w:p>
          <w:p w14:paraId="37000000">
            <w:pPr>
              <w:ind w:right="-142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Общественный совет</w:t>
            </w:r>
          </w:p>
        </w:tc>
        <w:tc>
          <w:tcPr>
            <w:tcW w:type="dxa" w:w="2410"/>
          </w:tcPr>
          <w:p w14:paraId="38000000">
            <w:pPr>
              <w:rPr>
                <w:sz w:val="26"/>
              </w:rPr>
            </w:pPr>
            <w:r>
              <w:rPr>
                <w:sz w:val="26"/>
              </w:rPr>
              <w:t xml:space="preserve">УФНС России по Камчатскому краю </w:t>
            </w:r>
          </w:p>
        </w:tc>
      </w:tr>
      <w:tr>
        <w:trPr>
          <w:trHeight w:hRule="atLeast" w:val="2271"/>
        </w:trPr>
        <w:tc>
          <w:tcPr>
            <w:tcW w:type="dxa" w:w="618"/>
          </w:tcPr>
          <w:p w14:paraId="3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1640"/>
          </w:tcPr>
          <w:p w14:paraId="3A000000">
            <w:pPr>
              <w:ind w:right="-118"/>
              <w:rPr>
                <w:sz w:val="26"/>
              </w:rPr>
            </w:pPr>
            <w:r>
              <w:rPr>
                <w:sz w:val="26"/>
              </w:rPr>
              <w:t>II полугоди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 2020</w:t>
            </w:r>
          </w:p>
        </w:tc>
        <w:tc>
          <w:tcPr>
            <w:tcW w:type="dxa" w:w="1995"/>
          </w:tcPr>
          <w:p w14:paraId="3B000000">
            <w:pPr>
              <w:rPr>
                <w:sz w:val="26"/>
              </w:rPr>
            </w:pPr>
            <w:r>
              <w:rPr>
                <w:sz w:val="26"/>
              </w:rPr>
              <w:t>Плановое заседание</w:t>
            </w:r>
          </w:p>
        </w:tc>
        <w:tc>
          <w:tcPr>
            <w:tcW w:type="dxa" w:w="5670"/>
          </w:tcPr>
          <w:p w14:paraId="3C000000">
            <w:pPr>
              <w:pStyle w:val="Style_2"/>
              <w:spacing w:after="0" w:before="0"/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. </w:t>
            </w:r>
            <w:r>
              <w:rPr>
                <w:sz w:val="26"/>
              </w:rPr>
              <w:t>Об основных вопросах, связанных с исчислением и уплатой имущественных налогов, и изменениях в налоговом законодательстве при администрировании имущественных налогов</w:t>
            </w:r>
          </w:p>
          <w:p w14:paraId="3D000000">
            <w:pPr>
              <w:pStyle w:val="Style_3"/>
              <w:rPr>
                <w:sz w:val="26"/>
              </w:rPr>
            </w:pPr>
          </w:p>
          <w:p w14:paraId="3E000000">
            <w:pPr>
              <w:pStyle w:val="Style_3"/>
              <w:rPr>
                <w:sz w:val="26"/>
              </w:rPr>
            </w:pPr>
          </w:p>
          <w:p w14:paraId="3F000000">
            <w:pPr>
              <w:pStyle w:val="Style_2"/>
              <w:spacing w:after="0" w:before="0"/>
              <w:ind w:firstLine="34" w:right="-108"/>
              <w:jc w:val="both"/>
              <w:rPr>
                <w:sz w:val="26"/>
              </w:rPr>
            </w:pPr>
          </w:p>
          <w:p w14:paraId="40000000">
            <w:pPr>
              <w:pStyle w:val="Style_2"/>
              <w:spacing w:after="0" w:before="0"/>
              <w:ind w:firstLine="34" w:right="-108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О</w:t>
            </w: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тмена единого налога на вмененный доход с 2021 года, альтернативные режимы налогообложения</w:t>
            </w:r>
          </w:p>
          <w:p w14:paraId="41000000">
            <w:pPr>
              <w:pStyle w:val="Style_2"/>
              <w:spacing w:after="0" w:before="0"/>
              <w:ind w:firstLine="34" w:right="-108"/>
              <w:jc w:val="both"/>
              <w:rPr>
                <w:sz w:val="26"/>
              </w:rPr>
            </w:pPr>
          </w:p>
          <w:p w14:paraId="42000000">
            <w:pPr>
              <w:pStyle w:val="Style_2"/>
              <w:spacing w:after="0" w:before="0"/>
              <w:ind w:firstLine="34" w:right="-108"/>
              <w:jc w:val="both"/>
              <w:rPr>
                <w:sz w:val="26"/>
              </w:rPr>
            </w:pPr>
          </w:p>
          <w:p w14:paraId="43000000">
            <w:pPr>
              <w:pStyle w:val="Style_2"/>
              <w:spacing w:after="0" w:before="0"/>
              <w:ind w:firstLine="34" w:right="-108"/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z w:val="26"/>
              </w:rPr>
              <w:t xml:space="preserve">.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рвис Государственный информационный ресурс  бухгалтерской отчетности</w:t>
            </w: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ГИР БО)</w:t>
            </w:r>
            <w:r>
              <w:rPr>
                <w:sz w:val="26"/>
              </w:rPr>
              <w:t xml:space="preserve"> и его возможности для бизнеса</w:t>
            </w:r>
            <w:r>
              <w:rPr>
                <w:sz w:val="26"/>
              </w:rPr>
              <w:t xml:space="preserve"> </w:t>
            </w:r>
          </w:p>
          <w:p w14:paraId="44000000">
            <w:pPr>
              <w:pStyle w:val="Style_2"/>
              <w:spacing w:after="0" w:before="0"/>
              <w:ind w:firstLine="34" w:right="-108"/>
              <w:jc w:val="both"/>
              <w:rPr>
                <w:sz w:val="26"/>
              </w:rPr>
            </w:pPr>
          </w:p>
          <w:p w14:paraId="45000000">
            <w:pPr>
              <w:pStyle w:val="Style_2"/>
              <w:spacing w:after="0" w:before="0"/>
              <w:ind w:firstLine="34" w:right="-1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4. </w:t>
            </w:r>
            <w:r>
              <w:rPr>
                <w:sz w:val="26"/>
              </w:rPr>
              <w:t>Итоги декларационной кампании по уплате физическими лицами налога на доходы физических лиц</w:t>
            </w:r>
          </w:p>
          <w:p w14:paraId="46000000">
            <w:pPr>
              <w:pStyle w:val="Style_2"/>
              <w:spacing w:after="0" w:before="0"/>
              <w:ind w:firstLine="34" w:right="-108"/>
              <w:jc w:val="both"/>
              <w:rPr>
                <w:sz w:val="26"/>
              </w:rPr>
            </w:pPr>
          </w:p>
          <w:p w14:paraId="47000000">
            <w:pPr>
              <w:spacing w:after="0" w:before="0" w:line="240" w:lineRule="auto"/>
              <w:ind w:firstLine="0" w:left="34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</w:p>
          <w:p w14:paraId="48000000">
            <w:pPr>
              <w:spacing w:after="0" w:before="0" w:line="240" w:lineRule="auto"/>
              <w:ind w:firstLine="0" w:left="34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</w:p>
          <w:p w14:paraId="49000000">
            <w:pPr>
              <w:spacing w:after="0" w:before="0" w:line="240" w:lineRule="auto"/>
              <w:ind w:firstLine="0" w:left="34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</w:p>
          <w:p w14:paraId="4A000000">
            <w:pPr>
              <w:spacing w:after="0" w:before="0" w:line="240" w:lineRule="auto"/>
              <w:ind w:firstLine="0" w:left="34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5. Основные изменения налогового законод</w:t>
            </w: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ательства с 2021 года.</w:t>
            </w:r>
          </w:p>
          <w:p w14:paraId="4B000000">
            <w:pPr>
              <w:spacing w:after="0" w:before="0" w:line="240" w:lineRule="auto"/>
              <w:ind w:firstLine="0" w:left="34" w:right="0"/>
              <w:jc w:val="both"/>
              <w:rPr>
                <w:rFonts w:ascii="Times New Roman" w:hAnsi="Times New Roman"/>
                <w:color w:val="000000"/>
                <w:spacing w:val="0"/>
                <w:sz w:val="26"/>
              </w:rPr>
            </w:pPr>
          </w:p>
          <w:p w14:paraId="4C000000">
            <w:pPr>
              <w:pStyle w:val="Style_2"/>
              <w:spacing w:after="0" w:before="0"/>
              <w:ind w:firstLine="34" w:right="-108"/>
              <w:jc w:val="both"/>
              <w:rPr>
                <w:sz w:val="26"/>
              </w:rPr>
            </w:pPr>
          </w:p>
          <w:p w14:paraId="4D000000">
            <w:pPr>
              <w:pStyle w:val="Style_2"/>
              <w:spacing w:after="0" w:before="0"/>
              <w:ind w:firstLine="34" w:right="-108"/>
              <w:jc w:val="both"/>
              <w:rPr>
                <w:sz w:val="26"/>
              </w:rPr>
            </w:pPr>
          </w:p>
          <w:p w14:paraId="4E000000">
            <w:pPr>
              <w:pStyle w:val="Style_2"/>
              <w:spacing w:after="0" w:before="0"/>
              <w:ind w:firstLine="34" w:right="-108"/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z w:val="26"/>
              </w:rPr>
              <w:t xml:space="preserve"> Обсуждение плана деятельн</w:t>
            </w:r>
            <w:r>
              <w:rPr>
                <w:sz w:val="26"/>
              </w:rPr>
              <w:t>ости работы Общественного совета на 2021</w:t>
            </w:r>
            <w:r>
              <w:rPr>
                <w:sz w:val="26"/>
              </w:rPr>
              <w:t xml:space="preserve"> год</w:t>
            </w:r>
            <w:r>
              <w:rPr>
                <w:sz w:val="26"/>
              </w:rPr>
              <w:t xml:space="preserve"> </w:t>
            </w:r>
          </w:p>
          <w:p w14:paraId="4F000000">
            <w:pPr>
              <w:pStyle w:val="Style_2"/>
              <w:spacing w:after="0" w:before="0"/>
              <w:ind w:firstLine="34" w:right="-108"/>
              <w:jc w:val="both"/>
              <w:rPr>
                <w:sz w:val="26"/>
              </w:rPr>
            </w:pPr>
          </w:p>
          <w:p w14:paraId="50000000">
            <w:pPr>
              <w:pStyle w:val="Style_2"/>
              <w:spacing w:after="0" w:before="0"/>
              <w:ind w:firstLine="34" w:right="-108"/>
              <w:jc w:val="both"/>
              <w:rPr>
                <w:sz w:val="26"/>
              </w:rPr>
            </w:pPr>
          </w:p>
        </w:tc>
        <w:tc>
          <w:tcPr>
            <w:tcW w:type="dxa" w:w="3260"/>
          </w:tcPr>
          <w:p w14:paraId="51000000">
            <w:pPr>
              <w:spacing w:after="0" w:before="0" w:line="240" w:lineRule="auto"/>
              <w:ind w:firstLine="0" w:left="0" w:right="-142"/>
              <w:jc w:val="left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Отдел налогообложения имущества и доходов физических лиц и администрирования страховых взносов</w:t>
            </w:r>
          </w:p>
          <w:p w14:paraId="52000000">
            <w:pPr>
              <w:ind w:right="-14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Общественный совет</w:t>
            </w:r>
          </w:p>
          <w:p w14:paraId="53000000">
            <w:pPr>
              <w:ind w:right="-142"/>
              <w:rPr>
                <w:rFonts w:ascii="Times New Roman" w:hAnsi="Times New Roman"/>
                <w:sz w:val="26"/>
              </w:rPr>
            </w:pPr>
          </w:p>
          <w:p w14:paraId="54000000">
            <w:pPr>
              <w:ind w:right="-14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Отдел налогообложения юридических лиц и камерально</w:t>
            </w: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го контроля</w:t>
            </w:r>
          </w:p>
          <w:p w14:paraId="55000000">
            <w:pPr>
              <w:ind w:right="-14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Общественный совет</w:t>
            </w:r>
          </w:p>
          <w:p w14:paraId="56000000">
            <w:pPr>
              <w:ind w:right="-142"/>
              <w:rPr>
                <w:rFonts w:ascii="Times New Roman" w:hAnsi="Times New Roman"/>
                <w:sz w:val="26"/>
              </w:rPr>
            </w:pPr>
          </w:p>
          <w:p w14:paraId="57000000">
            <w:pPr>
              <w:ind w:right="-14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</w:rPr>
              <w:t>работы с налогоплательщиками</w:t>
            </w:r>
          </w:p>
          <w:p w14:paraId="58000000">
            <w:pPr>
              <w:ind w:right="-14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Общественный совет</w:t>
            </w:r>
          </w:p>
          <w:p w14:paraId="59000000">
            <w:pPr>
              <w:ind w:right="-142"/>
              <w:rPr>
                <w:rFonts w:ascii="Times New Roman" w:hAnsi="Times New Roman"/>
                <w:sz w:val="26"/>
              </w:rPr>
            </w:pPr>
          </w:p>
          <w:p w14:paraId="5A000000">
            <w:pPr>
              <w:spacing w:after="0" w:before="0" w:line="240" w:lineRule="auto"/>
              <w:ind w:firstLine="0" w:left="0" w:right="-142"/>
              <w:jc w:val="left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Отдел налогообложения имущества и доходов физических лиц и администрирования страховых взносов</w:t>
            </w:r>
          </w:p>
          <w:p w14:paraId="5B000000">
            <w:pPr>
              <w:ind w:right="-14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Общественный совет</w:t>
            </w:r>
          </w:p>
          <w:p w14:paraId="5C000000">
            <w:pPr>
              <w:ind w:right="-142"/>
              <w:rPr>
                <w:rFonts w:ascii="Times New Roman" w:hAnsi="Times New Roman"/>
                <w:sz w:val="26"/>
              </w:rPr>
            </w:pPr>
          </w:p>
          <w:p w14:paraId="5D000000">
            <w:pPr>
              <w:ind w:right="-14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тдел налогообложения юридических лиц и камерального контроля</w:t>
            </w:r>
          </w:p>
          <w:p w14:paraId="5E000000">
            <w:pPr>
              <w:spacing w:after="0" w:before="0" w:line="240" w:lineRule="auto"/>
              <w:ind w:firstLine="0" w:left="0" w:right="-142"/>
              <w:jc w:val="left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Общественный совет</w:t>
            </w:r>
          </w:p>
          <w:p w14:paraId="5F000000">
            <w:pPr>
              <w:spacing w:after="0" w:before="0" w:line="240" w:lineRule="auto"/>
              <w:ind w:firstLine="0" w:left="0" w:right="-142"/>
              <w:jc w:val="left"/>
              <w:rPr>
                <w:rFonts w:ascii="Times New Roman" w:hAnsi="Times New Roman"/>
                <w:color w:val="000000"/>
                <w:spacing w:val="0"/>
                <w:sz w:val="26"/>
              </w:rPr>
            </w:pPr>
          </w:p>
          <w:p w14:paraId="60000000">
            <w:pPr>
              <w:spacing w:after="0" w:before="0" w:line="240" w:lineRule="auto"/>
              <w:ind w:firstLine="0" w:left="0" w:right="-142"/>
              <w:jc w:val="left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Общественный совет</w:t>
            </w:r>
          </w:p>
          <w:p w14:paraId="61000000">
            <w:pPr>
              <w:ind w:right="-142"/>
              <w:rPr>
                <w:sz w:val="26"/>
              </w:rPr>
            </w:pPr>
          </w:p>
        </w:tc>
        <w:tc>
          <w:tcPr>
            <w:tcW w:type="dxa" w:w="2410"/>
          </w:tcPr>
          <w:p w14:paraId="62000000">
            <w:pPr>
              <w:rPr>
                <w:sz w:val="26"/>
              </w:rPr>
            </w:pPr>
            <w:r>
              <w:rPr>
                <w:sz w:val="26"/>
              </w:rPr>
              <w:t>УФНС России по Камчатскому краю</w:t>
            </w:r>
          </w:p>
        </w:tc>
      </w:tr>
      <w:tr>
        <w:trPr>
          <w:trHeight w:hRule="atLeast" w:val="2271"/>
        </w:trPr>
        <w:tc>
          <w:tcPr>
            <w:tcW w:type="dxa" w:w="618"/>
          </w:tcPr>
          <w:p w14:paraId="6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640"/>
          </w:tcPr>
          <w:p w14:paraId="64000000">
            <w:pPr>
              <w:ind w:right="-118"/>
              <w:rPr>
                <w:sz w:val="26"/>
              </w:rPr>
            </w:pPr>
          </w:p>
        </w:tc>
        <w:tc>
          <w:tcPr>
            <w:tcW w:type="dxa" w:w="1995"/>
          </w:tcPr>
          <w:p w14:paraId="65000000">
            <w:pPr>
              <w:rPr>
                <w:sz w:val="26"/>
              </w:rPr>
            </w:pPr>
            <w:r>
              <w:rPr>
                <w:sz w:val="26"/>
              </w:rPr>
              <w:t>Участие в работе постоянно действующих комиссий УФНС России по Камчатскому краю</w:t>
            </w:r>
          </w:p>
        </w:tc>
        <w:tc>
          <w:tcPr>
            <w:tcW w:type="dxa" w:w="5670"/>
          </w:tcPr>
          <w:p w14:paraId="66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color w:val="000000"/>
                <w:sz w:val="26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u w:val="none"/>
              </w:rPr>
              <w:t>Участие в работе постоянно действующих комиссий Управления:</w:t>
            </w:r>
          </w:p>
          <w:p w14:paraId="67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-  конкурсная комиссия </w:t>
            </w:r>
            <w:r>
              <w:rPr>
                <w:rFonts w:ascii="Times New Roman" w:hAnsi="Times New Roman"/>
                <w:color w:val="000000"/>
                <w:sz w:val="26"/>
              </w:rPr>
              <w:t>на замещение вакантных должностей государственной гражданской службы</w:t>
            </w:r>
            <w:r>
              <w:rPr>
                <w:rFonts w:ascii="Times New Roman" w:hAnsi="Times New Roman"/>
                <w:color w:val="000000"/>
                <w:sz w:val="26"/>
              </w:rPr>
              <w:t>;</w:t>
            </w:r>
          </w:p>
          <w:p w14:paraId="68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аттестационн</w:t>
            </w: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ая комиссия;</w:t>
            </w:r>
          </w:p>
          <w:p w14:paraId="69000000">
            <w:pPr>
              <w:spacing w:after="0" w:before="0"/>
              <w:ind w:right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- к</w:t>
            </w: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омиссия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  <w:p w14:paraId="6A000000">
            <w:pPr>
              <w:pStyle w:val="Style_2"/>
              <w:spacing w:after="0" w:before="0"/>
              <w:ind w:right="-108"/>
              <w:jc w:val="both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3260"/>
          </w:tcPr>
          <w:p w14:paraId="6B000000">
            <w:pPr>
              <w:spacing w:after="0" w:before="0"/>
              <w:ind w:firstLine="0" w:left="0" w:right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Члены Общественного совета</w:t>
            </w:r>
          </w:p>
          <w:p w14:paraId="6C000000">
            <w:pPr>
              <w:spacing w:after="0" w:before="0"/>
              <w:ind w:firstLine="0" w:left="0" w:right="0"/>
              <w:rPr>
                <w:rFonts w:ascii="Times New Roman&quot;" w:hAnsi="Times New Roman&quot;"/>
                <w:sz w:val="24"/>
              </w:rPr>
            </w:pPr>
            <w:r>
              <w:rPr>
                <w:rFonts w:ascii="Times New Roman&quot;" w:hAnsi="Times New Roman&quot;"/>
                <w:color w:val="FF0000"/>
                <w:sz w:val="24"/>
              </w:rPr>
              <w:t> </w:t>
            </w:r>
          </w:p>
          <w:p w14:paraId="6D000000">
            <w:pPr>
              <w:spacing w:after="0" w:before="0" w:line="240" w:lineRule="auto"/>
              <w:ind w:firstLine="0" w:left="0" w:right="-142"/>
              <w:jc w:val="left"/>
              <w:rPr>
                <w:rFonts w:ascii="Times New Roman" w:hAnsi="Times New Roman"/>
                <w:color w:val="000000"/>
                <w:spacing w:val="0"/>
                <w:sz w:val="26"/>
              </w:rPr>
            </w:pPr>
          </w:p>
        </w:tc>
        <w:tc>
          <w:tcPr>
            <w:tcW w:type="dxa" w:w="2410"/>
          </w:tcPr>
          <w:p w14:paraId="6E000000">
            <w:pPr>
              <w:rPr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УФНС России по Камчатскому краю</w:t>
            </w:r>
          </w:p>
        </w:tc>
      </w:tr>
    </w:tbl>
    <w:p w14:paraId="6F000000">
      <w:pPr>
        <w:rPr>
          <w:sz w:val="28"/>
        </w:rPr>
      </w:pPr>
    </w:p>
    <w:sectPr>
      <w:pgSz w:h="11906" w:w="16838"/>
      <w:pgMar w:bottom="284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Strong"/>
    <w:basedOn w:val="Style_11"/>
    <w:link w:val="Style_10_ch"/>
    <w:rPr>
      <w:b w:val="1"/>
    </w:rPr>
  </w:style>
  <w:style w:styleId="Style_10_ch" w:type="character">
    <w:name w:val="Strong"/>
    <w:basedOn w:val="Style_11_ch"/>
    <w:link w:val="Style_10"/>
    <w:rPr>
      <w:b w:val="1"/>
    </w:rPr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3" w:type="paragraph">
    <w:name w:val="List Paragraph"/>
    <w:basedOn w:val="Style_4"/>
    <w:link w:val="Style_3_ch"/>
    <w:pPr>
      <w:ind w:firstLine="0" w:left="708"/>
    </w:pPr>
  </w:style>
  <w:style w:styleId="Style_3_ch" w:type="character">
    <w:name w:val="List Paragraph"/>
    <w:basedOn w:val="Style_4_ch"/>
    <w:link w:val="Style_3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footer"/>
    <w:basedOn w:val="Style_4"/>
    <w:link w:val="Style_22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22_ch" w:type="character">
    <w:name w:val="footer"/>
    <w:basedOn w:val="Style_4_ch"/>
    <w:link w:val="Style_22"/>
    <w:rPr>
      <w:sz w:val="20"/>
    </w:rPr>
  </w:style>
  <w:style w:styleId="Style_23" w:type="paragraph">
    <w:name w:val="Subtitle"/>
    <w:next w:val="Style_4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4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8" w:type="table">
    <w:name w:val="Table Grid"/>
    <w:basedOn w:val="Style_1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